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附件：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 xml:space="preserve">    </w:t>
      </w:r>
    </w:p>
    <w:tbl>
      <w:tblPr>
        <w:tblStyle w:val="3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121"/>
        <w:gridCol w:w="1127"/>
        <w:gridCol w:w="7856"/>
        <w:gridCol w:w="2200"/>
        <w:gridCol w:w="10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2024届毕业论文（设计）工作安排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2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内容及注意事项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提交材料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1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工作方案制定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28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学院完成2024届本科毕业设计（论文）工作方案制定。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2024届本科毕业设计（论文）工作方案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学院存档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线下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1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题目征集</w:t>
            </w:r>
          </w:p>
        </w:tc>
        <w:tc>
          <w:tcPr>
            <w:tcW w:w="40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28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指导教师提出一定数量的毕业论文（设计）题目，学院毕业论文领导小组审批。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《毕业论文（设计）命题征集表》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学院存档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线下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题目审核</w:t>
            </w:r>
          </w:p>
        </w:tc>
        <w:tc>
          <w:tcPr>
            <w:tcW w:w="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学院应组织院教学工作委员会对本学院所有毕业论文（设计）题目进行审查，并在系统中提前录入指导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教师、第二指导教师及学生信息。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《毕业论文（设计）命题征集表》  命题审议意见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学院存档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选题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2023年12月11日</w:t>
            </w:r>
          </w:p>
        </w:tc>
        <w:tc>
          <w:tcPr>
            <w:tcW w:w="2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组织师生双向选题，题目选定后，组织指导教师与被指导学生见面，并在系统中完成选题流程。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《毕业论文（设计）选题审批表》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学院存档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线上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开题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2023年12月30日</w:t>
            </w:r>
          </w:p>
        </w:tc>
        <w:tc>
          <w:tcPr>
            <w:tcW w:w="2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hd w:val="clear" w:color="auto" w:fill="auto"/>
              <w:spacing w:before="0" w:after="0" w:line="560" w:lineRule="exact"/>
              <w:ind w:firstLine="50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指导教师提出开题评阅意见，教研室提出开题意见,指导教师向学生下达《毕业论文（设计）任务书》。开题工作须在下发任务书两周内完成。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hd w:val="clear" w:color="auto" w:fill="auto"/>
              <w:spacing w:before="0" w:after="0"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《毕业论文（设计）任务书》《毕业论文（设计）开题报告》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学院存档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线上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毕业论文（设计）全程</w:t>
            </w:r>
          </w:p>
        </w:tc>
        <w:tc>
          <w:tcPr>
            <w:tcW w:w="2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对学生提出的工作方案进行审查，提出修改、完善的指导意见。指导学生按规范撰写论文初稿或进行初步设计。对学生在过程中遇到的技术问题进行指导，师生共同研究解决方案。最终完成毕业论文（设计）。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《指导记录》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学院存档线下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选题变更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中期检查之前</w:t>
            </w:r>
          </w:p>
        </w:tc>
        <w:tc>
          <w:tcPr>
            <w:tcW w:w="2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hd w:val="clear" w:color="auto" w:fill="auto"/>
              <w:spacing w:before="0" w:after="0" w:line="560" w:lineRule="exact"/>
              <w:ind w:firstLine="50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题目确定后一般不能随意更改，确有更改必要时，应由学生提出申请，填写《西安文理学院毕业论文（设计）选题变更表》，经指导教师和毕业论文工作组审核同意后，一式两份，一份随毕业论文装订并由学院办公室教学秘书处存档，一份报教务处备案待查。题目变更量不能超过当年毕业论文总量的20%。中期检查工作结束后，毕业论文题目不能更改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《毕业论文（设计）选题变更表》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学院、教务处存档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线上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中期检查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>2024年3月25日/4月8日</w:t>
            </w:r>
          </w:p>
        </w:tc>
        <w:tc>
          <w:tcPr>
            <w:tcW w:w="2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教务处布置中期检查，学院组织教师检查学生完成的情况、工作进度实现情况。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《毕业论文（设计）中期检查表》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学院存档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线上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论文查重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查重系统4月开通</w:t>
            </w:r>
          </w:p>
        </w:tc>
        <w:tc>
          <w:tcPr>
            <w:tcW w:w="2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因检测次数有限，避免浪费检测次数，请指导教师先审阅学生稿件，确认稿件无问题后在审核页面提交检测，提交后系统出检测结果。指导教师最后根据查重结果（重复率不超过30%）审核通过。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检测报告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线上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>答辩、成绩评定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>2024年5月6日/5月31日</w:t>
            </w:r>
          </w:p>
        </w:tc>
        <w:tc>
          <w:tcPr>
            <w:tcW w:w="2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 xml:space="preserve">    答辩时，学生陈述10分钟左右，教师提问和学生回答5分钟左右，答辩小组认真记录。答辩结束后，答辩小组通过讨论与交流，给出每位学生毕业论文（设计）的答辩成绩。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毕业论文（设计）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>答辩记录》、《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毕业论文（设计）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>成绩评定表》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>学院存档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>部分线上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>档案整理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>2024年6月8日前</w:t>
            </w:r>
          </w:p>
        </w:tc>
        <w:tc>
          <w:tcPr>
            <w:tcW w:w="2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 xml:space="preserve">    学院整理毕业论文（设计）档案材料，完整保存。并按要求上报优秀（不超过毕业生人数的5%的比例）、成绩、工作总结等材料。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>《毕业论文（设计）成绩登记表》、《优秀毕业论文（设计）统计表》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>学院存档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>教务处备案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  <w:t>线上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226" w:afterAutospacing="0" w:line="528" w:lineRule="atLeast"/>
              <w:ind w:right="0" w:firstLine="48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各学院可根据实际情况适当调整时间节点，安排选题、开题、任务书、开题报告、中期检查、评阅、答辩等相关工作，使毕业设计（论文）工作有序进行。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288"/>
              </w:tabs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4680"/>
          <w:tab w:val="left" w:pos="4860"/>
        </w:tabs>
        <w:adjustRightInd/>
        <w:snapToGrid/>
        <w:spacing w:after="0" w:line="360" w:lineRule="auto"/>
        <w:ind w:firstLine="480"/>
        <w:rPr>
          <w:rFonts w:ascii="Times New Roman" w:hAnsi="Times New Roman" w:eastAsia="仿宋_GB2312" w:cs="Times New Roman"/>
          <w:color w:val="333333"/>
          <w:sz w:val="32"/>
          <w:szCs w:val="32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linePitch="360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TllMmI0MDE0ZDM3NTA4NmU5YWM5MGMzYzhiMDIifQ=="/>
  </w:docVars>
  <w:rsids>
    <w:rsidRoot w:val="1C28111C"/>
    <w:rsid w:val="1C28111C"/>
    <w:rsid w:val="28075776"/>
    <w:rsid w:val="2F5B1300"/>
    <w:rsid w:val="3FFD575C"/>
    <w:rsid w:val="4B80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Body text (2)1"/>
    <w:basedOn w:val="1"/>
    <w:autoRedefine/>
    <w:qFormat/>
    <w:uiPriority w:val="0"/>
    <w:pPr>
      <w:shd w:val="clear" w:color="auto" w:fill="FFFFFF"/>
      <w:spacing w:before="840" w:after="300" w:line="240" w:lineRule="atLeast"/>
      <w:ind w:hanging="140"/>
      <w:jc w:val="left"/>
    </w:pPr>
    <w:rPr>
      <w:rFonts w:ascii="MingLiU" w:eastAsia="MingLiU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2023-12-20T04:58:00Z</dcterms:created>
  <dc:creator>水草</dc:creator>
  <cp:lastModifiedBy>水草</cp:lastModifiedBy>
  <dcterms:modified xsi:type="dcterms:W3CDTF">2023-12-21T00:36:33Z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24987B6E11A24BF6AF3393D5146BE748_11</vt:lpwstr>
  </property>
</Properties>
</file>